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43A" w:rsidRPr="00C57612" w:rsidRDefault="00B5643A" w:rsidP="00B5643A">
      <w:pPr>
        <w:pBdr>
          <w:bottom w:val="single" w:sz="18" w:space="0" w:color="002060"/>
        </w:pBdr>
        <w:suppressAutoHyphens/>
        <w:spacing w:before="120" w:after="240" w:line="360" w:lineRule="auto"/>
        <w:jc w:val="both"/>
        <w:rPr>
          <w:rFonts w:ascii="Calibri" w:hAnsi="Calibri" w:cs="Calibri"/>
          <w:b/>
          <w:bCs/>
          <w:color w:val="002060"/>
          <w:sz w:val="22"/>
          <w:szCs w:val="22"/>
        </w:rPr>
      </w:pPr>
      <w:r w:rsidRPr="00C57612">
        <w:rPr>
          <w:rFonts w:ascii="Calibri" w:hAnsi="Calibri" w:cs="Calibri"/>
          <w:b/>
          <w:bCs/>
          <w:color w:val="002060"/>
          <w:sz w:val="22"/>
          <w:szCs w:val="22"/>
        </w:rPr>
        <w:t>ΠΑΡΑΡΤΗΜΑ ΙI ΠΙΝΑΚΑΣ ΣΥΜΜΟΡΦΩΣΗΣ ΠΡΟΣΦΕΡΟΝΤΟΣ ΜΕ ΤΙΣ ΤΕΧΝΙΚΕΣ ΠΡΟΔΙΑΓΡΑΦΕΣ ΚΑΙ ΛΟΙΠΕΣ ΑΠΑΙΤΗΣΕΙΣ</w:t>
      </w:r>
    </w:p>
    <w:p w:rsidR="00B5643A" w:rsidRDefault="00B5643A" w:rsidP="00B5643A">
      <w:pPr>
        <w:tabs>
          <w:tab w:val="left" w:pos="3360"/>
        </w:tabs>
        <w:rPr>
          <w:rFonts w:ascii="Arial" w:hAnsi="Arial" w:cs="Arial"/>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2"/>
        <w:gridCol w:w="966"/>
        <w:gridCol w:w="1013"/>
      </w:tblGrid>
      <w:tr w:rsidR="00B5643A" w:rsidRPr="00C57612" w:rsidTr="00F135B5">
        <w:trPr>
          <w:trHeight w:val="604"/>
        </w:trPr>
        <w:tc>
          <w:tcPr>
            <w:tcW w:w="3814" w:type="pct"/>
            <w:shd w:val="clear" w:color="000000" w:fill="D8D8D8"/>
            <w:vAlign w:val="center"/>
            <w:hideMark/>
          </w:tcPr>
          <w:p w:rsidR="00B5643A" w:rsidRPr="00C57612" w:rsidRDefault="00B5643A" w:rsidP="00F135B5">
            <w:pPr>
              <w:spacing w:line="360" w:lineRule="auto"/>
              <w:rPr>
                <w:rFonts w:ascii="Calibri" w:hAnsi="Calibri" w:cs="Calibri"/>
                <w:b/>
                <w:color w:val="000000"/>
                <w:sz w:val="22"/>
                <w:szCs w:val="22"/>
              </w:rPr>
            </w:pPr>
            <w:r w:rsidRPr="00C57612">
              <w:rPr>
                <w:rFonts w:ascii="Calibri" w:hAnsi="Calibri" w:cs="Calibri"/>
                <w:b/>
                <w:color w:val="000000"/>
                <w:sz w:val="22"/>
                <w:szCs w:val="22"/>
              </w:rPr>
              <w:t>ΥΠΟΧΡΕΩΣΕΙΣ ΑΝΑΔΟΧΟΥ  - ΛΟΙΠΕΣ ΑΠΑΙΤΗΣΕΙΣ</w:t>
            </w:r>
          </w:p>
        </w:tc>
        <w:tc>
          <w:tcPr>
            <w:tcW w:w="579" w:type="pct"/>
            <w:shd w:val="clear" w:color="000000" w:fill="D8D8D8"/>
            <w:vAlign w:val="center"/>
            <w:hideMark/>
          </w:tcPr>
          <w:p w:rsidR="00B5643A" w:rsidRPr="00C57612" w:rsidRDefault="00B5643A" w:rsidP="00F135B5">
            <w:pPr>
              <w:spacing w:line="360" w:lineRule="auto"/>
              <w:jc w:val="center"/>
              <w:rPr>
                <w:rFonts w:ascii="Calibri" w:hAnsi="Calibri" w:cs="Calibri"/>
                <w:b/>
                <w:color w:val="000000"/>
                <w:sz w:val="22"/>
                <w:szCs w:val="22"/>
              </w:rPr>
            </w:pPr>
            <w:r w:rsidRPr="00C57612">
              <w:rPr>
                <w:rFonts w:ascii="Calibri" w:hAnsi="Calibri" w:cs="Calibri"/>
                <w:b/>
                <w:color w:val="000000"/>
                <w:sz w:val="22"/>
                <w:szCs w:val="22"/>
              </w:rPr>
              <w:t>ΑΠΑΙΤΗΣΗ</w:t>
            </w:r>
          </w:p>
        </w:tc>
        <w:tc>
          <w:tcPr>
            <w:tcW w:w="607" w:type="pct"/>
            <w:shd w:val="clear" w:color="000000" w:fill="D8D8D8"/>
            <w:vAlign w:val="center"/>
            <w:hideMark/>
          </w:tcPr>
          <w:p w:rsidR="00B5643A" w:rsidRPr="00C57612" w:rsidRDefault="00B5643A" w:rsidP="00F135B5">
            <w:pPr>
              <w:spacing w:line="360" w:lineRule="auto"/>
              <w:rPr>
                <w:rFonts w:ascii="Calibri" w:hAnsi="Calibri" w:cs="Calibri"/>
                <w:b/>
                <w:color w:val="000000"/>
                <w:sz w:val="22"/>
                <w:szCs w:val="22"/>
              </w:rPr>
            </w:pPr>
            <w:r w:rsidRPr="00C57612">
              <w:rPr>
                <w:rFonts w:ascii="Calibri" w:hAnsi="Calibri" w:cs="Calibri"/>
                <w:b/>
                <w:color w:val="000000"/>
                <w:sz w:val="22"/>
                <w:szCs w:val="22"/>
              </w:rPr>
              <w:t>ΑΠΑΝΤΗΣΗ</w:t>
            </w:r>
          </w:p>
        </w:tc>
      </w:tr>
      <w:tr w:rsidR="00B5643A" w:rsidRPr="00C57612" w:rsidTr="00F135B5">
        <w:trPr>
          <w:trHeight w:val="698"/>
        </w:trPr>
        <w:tc>
          <w:tcPr>
            <w:tcW w:w="3814" w:type="pct"/>
            <w:shd w:val="clear" w:color="auto" w:fill="auto"/>
            <w:vAlign w:val="center"/>
            <w:hideMark/>
          </w:tcPr>
          <w:p w:rsidR="00B5643A" w:rsidRPr="00C57612" w:rsidRDefault="00B5643A" w:rsidP="00F135B5">
            <w:pPr>
              <w:spacing w:line="360" w:lineRule="auto"/>
              <w:jc w:val="both"/>
              <w:rPr>
                <w:rFonts w:ascii="Calibri" w:hAnsi="Calibri" w:cs="Calibri"/>
                <w:sz w:val="22"/>
                <w:szCs w:val="22"/>
              </w:rPr>
            </w:pPr>
            <w:r w:rsidRPr="00C57612">
              <w:rPr>
                <w:rFonts w:ascii="Calibri" w:hAnsi="Calibri" w:cs="Calibri"/>
                <w:sz w:val="22"/>
                <w:szCs w:val="22"/>
              </w:rPr>
              <w:t>Οι εργασίες τακτικής συντήρησης θα πραγματοποιούνται κατά τις εργάσιμες ώρες και ημέρες, μετά από επικοινωνία με το ΚΕΔΥ.</w:t>
            </w:r>
          </w:p>
        </w:tc>
        <w:tc>
          <w:tcPr>
            <w:tcW w:w="579" w:type="pct"/>
            <w:shd w:val="clear" w:color="auto" w:fill="auto"/>
            <w:vAlign w:val="center"/>
            <w:hideMark/>
          </w:tcPr>
          <w:p w:rsidR="00B5643A" w:rsidRPr="00C57612" w:rsidRDefault="00B5643A" w:rsidP="00F135B5">
            <w:pPr>
              <w:jc w:val="center"/>
              <w:rPr>
                <w:rFonts w:ascii="Calibri" w:hAnsi="Calibri" w:cs="Calibri"/>
                <w:b/>
                <w:color w:val="000000"/>
                <w:sz w:val="22"/>
                <w:szCs w:val="22"/>
              </w:rPr>
            </w:pPr>
            <w:r w:rsidRPr="00C57612">
              <w:rPr>
                <w:rFonts w:ascii="Calibri" w:hAnsi="Calibri" w:cs="Calibri"/>
                <w:b/>
                <w:color w:val="000000"/>
                <w:sz w:val="22"/>
                <w:szCs w:val="22"/>
              </w:rPr>
              <w:t>ΝΑΙ</w:t>
            </w:r>
          </w:p>
        </w:tc>
        <w:tc>
          <w:tcPr>
            <w:tcW w:w="607" w:type="pct"/>
            <w:shd w:val="clear" w:color="auto" w:fill="auto"/>
            <w:vAlign w:val="center"/>
            <w:hideMark/>
          </w:tcPr>
          <w:p w:rsidR="00B5643A" w:rsidRPr="00C57612" w:rsidRDefault="00B5643A" w:rsidP="00F135B5">
            <w:pPr>
              <w:spacing w:before="120" w:line="360" w:lineRule="auto"/>
              <w:rPr>
                <w:rFonts w:ascii="Calibri" w:hAnsi="Calibri" w:cs="Calibri"/>
                <w:color w:val="000000"/>
                <w:sz w:val="22"/>
                <w:szCs w:val="22"/>
              </w:rPr>
            </w:pPr>
          </w:p>
        </w:tc>
      </w:tr>
      <w:tr w:rsidR="00B5643A" w:rsidRPr="00C57612" w:rsidTr="00F135B5">
        <w:trPr>
          <w:trHeight w:val="698"/>
        </w:trPr>
        <w:tc>
          <w:tcPr>
            <w:tcW w:w="3814" w:type="pct"/>
            <w:shd w:val="clear" w:color="auto" w:fill="auto"/>
            <w:vAlign w:val="center"/>
            <w:hideMark/>
          </w:tcPr>
          <w:p w:rsidR="00B5643A" w:rsidRPr="00C57612" w:rsidRDefault="00B5643A" w:rsidP="00F135B5">
            <w:pPr>
              <w:suppressAutoHyphens/>
              <w:spacing w:line="276" w:lineRule="auto"/>
              <w:jc w:val="both"/>
              <w:rPr>
                <w:rFonts w:ascii="Calibri" w:eastAsia="Calibri" w:hAnsi="Calibri" w:cs="Calibri"/>
                <w:sz w:val="22"/>
                <w:szCs w:val="22"/>
                <w:lang w:eastAsia="zh-CN"/>
              </w:rPr>
            </w:pPr>
            <w:r w:rsidRPr="00C57612">
              <w:rPr>
                <w:rFonts w:ascii="Calibri" w:eastAsia="Calibri" w:hAnsi="Calibri" w:cs="Calibri"/>
                <w:sz w:val="22"/>
                <w:szCs w:val="22"/>
                <w:lang w:eastAsia="zh-CN"/>
              </w:rPr>
              <w:t>Με το πέρας κάθε επίσκεψης τεχνικού θα εκδίδεται δελτίο στο οποίο θα αναφέρονται οι εργασίες που εκτελέσθηκαν, τα υλικά που χρησιμοποιήθηκαν, τυχόν προβλήματα που διαπιστώθηκαν, παρατηρήσεις και προτάσεις. Το δελτίο αυτό θα υπογράφεται από τον τεχνικό που θα εκτελεί την συντήρηση και θα παραδίδεται στον υπεύθυνο που θα οριστεί από το ΚΕΔΥ.</w:t>
            </w:r>
          </w:p>
        </w:tc>
        <w:tc>
          <w:tcPr>
            <w:tcW w:w="579" w:type="pct"/>
            <w:shd w:val="clear" w:color="auto" w:fill="auto"/>
            <w:vAlign w:val="center"/>
            <w:hideMark/>
          </w:tcPr>
          <w:p w:rsidR="00B5643A" w:rsidRPr="00C57612" w:rsidRDefault="00B5643A" w:rsidP="00F135B5">
            <w:pPr>
              <w:jc w:val="center"/>
              <w:rPr>
                <w:rFonts w:ascii="Calibri" w:hAnsi="Calibri" w:cs="Calibri"/>
                <w:b/>
                <w:color w:val="000000"/>
                <w:sz w:val="22"/>
                <w:szCs w:val="22"/>
              </w:rPr>
            </w:pPr>
            <w:r w:rsidRPr="00C57612">
              <w:rPr>
                <w:rFonts w:ascii="Calibri" w:hAnsi="Calibri" w:cs="Calibri"/>
                <w:b/>
                <w:color w:val="000000"/>
                <w:sz w:val="22"/>
                <w:szCs w:val="22"/>
              </w:rPr>
              <w:t>ΝΑΙ</w:t>
            </w:r>
          </w:p>
        </w:tc>
        <w:tc>
          <w:tcPr>
            <w:tcW w:w="607" w:type="pct"/>
            <w:shd w:val="clear" w:color="auto" w:fill="auto"/>
            <w:vAlign w:val="center"/>
            <w:hideMark/>
          </w:tcPr>
          <w:p w:rsidR="00B5643A" w:rsidRPr="00C57612" w:rsidRDefault="00B5643A" w:rsidP="00F135B5">
            <w:pPr>
              <w:spacing w:before="120" w:line="360" w:lineRule="auto"/>
              <w:rPr>
                <w:rFonts w:ascii="Calibri" w:hAnsi="Calibri" w:cs="Calibri"/>
                <w:color w:val="000000"/>
                <w:sz w:val="22"/>
                <w:szCs w:val="22"/>
              </w:rPr>
            </w:pPr>
          </w:p>
        </w:tc>
      </w:tr>
      <w:tr w:rsidR="00B5643A" w:rsidRPr="00C57612" w:rsidTr="00F135B5">
        <w:trPr>
          <w:trHeight w:val="698"/>
        </w:trPr>
        <w:tc>
          <w:tcPr>
            <w:tcW w:w="3814" w:type="pct"/>
            <w:shd w:val="clear" w:color="auto" w:fill="auto"/>
            <w:vAlign w:val="center"/>
            <w:hideMark/>
          </w:tcPr>
          <w:p w:rsidR="00B5643A" w:rsidRPr="00C57612" w:rsidRDefault="00B5643A" w:rsidP="00F135B5">
            <w:pPr>
              <w:spacing w:line="360" w:lineRule="auto"/>
              <w:rPr>
                <w:rFonts w:ascii="Calibri" w:hAnsi="Calibri" w:cs="Calibri"/>
                <w:sz w:val="22"/>
                <w:szCs w:val="22"/>
              </w:rPr>
            </w:pPr>
            <w:r w:rsidRPr="00C57612">
              <w:rPr>
                <w:rFonts w:ascii="Calibri" w:hAnsi="Calibri" w:cs="Calibri"/>
                <w:sz w:val="22"/>
                <w:szCs w:val="22"/>
              </w:rPr>
              <w:t>Ανταπόκριση τεχνικού σε έκτακτη βλάβη (κλήση μέσω τηλεφώνου, e-</w:t>
            </w:r>
            <w:proofErr w:type="spellStart"/>
            <w:r w:rsidRPr="00C57612">
              <w:rPr>
                <w:rFonts w:ascii="Calibri" w:hAnsi="Calibri" w:cs="Calibri"/>
                <w:sz w:val="22"/>
                <w:szCs w:val="22"/>
              </w:rPr>
              <w:t>mail</w:t>
            </w:r>
            <w:proofErr w:type="spellEnd"/>
            <w:r w:rsidRPr="00C57612">
              <w:rPr>
                <w:rFonts w:ascii="Calibri" w:hAnsi="Calibri" w:cs="Calibri"/>
                <w:sz w:val="22"/>
                <w:szCs w:val="22"/>
              </w:rPr>
              <w:t>). Η ανταπόκριση σε περίπτωση βλάβης και εάν η βλάβη παραμένει μετά τις υποδείξεις της εταιρείας για την αποκατάστασή της από το προσωπικό που θα χειρίζεται το σύστημα, θα είναι το αργότερο εντός είκοσι τεσσάρων (24) ωρών.</w:t>
            </w:r>
          </w:p>
        </w:tc>
        <w:tc>
          <w:tcPr>
            <w:tcW w:w="579" w:type="pct"/>
            <w:shd w:val="clear" w:color="auto" w:fill="auto"/>
            <w:vAlign w:val="center"/>
            <w:hideMark/>
          </w:tcPr>
          <w:p w:rsidR="00B5643A" w:rsidRPr="00C57612" w:rsidRDefault="00B5643A" w:rsidP="00F135B5">
            <w:pPr>
              <w:jc w:val="center"/>
              <w:rPr>
                <w:rFonts w:ascii="Calibri" w:hAnsi="Calibri" w:cs="Calibri"/>
                <w:b/>
                <w:color w:val="000000"/>
                <w:sz w:val="22"/>
                <w:szCs w:val="22"/>
              </w:rPr>
            </w:pPr>
            <w:r w:rsidRPr="00C57612">
              <w:rPr>
                <w:rFonts w:ascii="Calibri" w:hAnsi="Calibri" w:cs="Calibri"/>
                <w:b/>
                <w:color w:val="000000"/>
                <w:sz w:val="22"/>
                <w:szCs w:val="22"/>
              </w:rPr>
              <w:t>ΝΑΙ</w:t>
            </w:r>
          </w:p>
        </w:tc>
        <w:tc>
          <w:tcPr>
            <w:tcW w:w="607" w:type="pct"/>
            <w:shd w:val="clear" w:color="auto" w:fill="auto"/>
            <w:vAlign w:val="center"/>
            <w:hideMark/>
          </w:tcPr>
          <w:p w:rsidR="00B5643A" w:rsidRPr="00C57612" w:rsidRDefault="00B5643A" w:rsidP="00F135B5">
            <w:pPr>
              <w:spacing w:before="120" w:line="360" w:lineRule="auto"/>
              <w:rPr>
                <w:rFonts w:ascii="Calibri" w:hAnsi="Calibri" w:cs="Calibri"/>
                <w:color w:val="000000"/>
                <w:sz w:val="22"/>
                <w:szCs w:val="22"/>
              </w:rPr>
            </w:pPr>
          </w:p>
        </w:tc>
      </w:tr>
      <w:tr w:rsidR="00B5643A" w:rsidRPr="00C57612" w:rsidTr="00F135B5">
        <w:trPr>
          <w:trHeight w:val="698"/>
        </w:trPr>
        <w:tc>
          <w:tcPr>
            <w:tcW w:w="3814" w:type="pct"/>
            <w:shd w:val="clear" w:color="auto" w:fill="auto"/>
            <w:vAlign w:val="center"/>
            <w:hideMark/>
          </w:tcPr>
          <w:p w:rsidR="00B5643A" w:rsidRPr="00C57612" w:rsidRDefault="00B5643A" w:rsidP="00F135B5">
            <w:pPr>
              <w:suppressAutoHyphens/>
              <w:spacing w:line="276" w:lineRule="auto"/>
              <w:jc w:val="both"/>
              <w:rPr>
                <w:rFonts w:ascii="Calibri" w:eastAsia="Calibri" w:hAnsi="Calibri" w:cs="Calibri"/>
                <w:sz w:val="22"/>
                <w:szCs w:val="22"/>
                <w:lang w:eastAsia="zh-CN"/>
              </w:rPr>
            </w:pPr>
            <w:r w:rsidRPr="00C57612">
              <w:rPr>
                <w:rFonts w:ascii="Calibri" w:eastAsia="Calibri" w:hAnsi="Calibri" w:cs="Calibri"/>
                <w:sz w:val="22"/>
                <w:szCs w:val="22"/>
                <w:lang w:eastAsia="zh-CN"/>
              </w:rPr>
              <w:t>Ο συντηρητής θα είναι υποχρεωμένος να αντικαταστήσει τυχόν υλικά και ανταλλακτικά που θα απαιτηθούν επιπλέον των προβλεπόμενων κατά τη διάρκεια της επίσκεψης της τακτικής συντήρησης εάν αυτό κριθεί απαραίτητο και σε τέτοια περίπτωση θα χρεώνονται μόνο τα υλικά.</w:t>
            </w:r>
          </w:p>
        </w:tc>
        <w:tc>
          <w:tcPr>
            <w:tcW w:w="579" w:type="pct"/>
            <w:shd w:val="clear" w:color="auto" w:fill="auto"/>
            <w:vAlign w:val="center"/>
            <w:hideMark/>
          </w:tcPr>
          <w:p w:rsidR="00B5643A" w:rsidRPr="00C57612" w:rsidRDefault="00B5643A" w:rsidP="00F135B5">
            <w:pPr>
              <w:spacing w:before="120" w:line="360" w:lineRule="auto"/>
              <w:jc w:val="center"/>
              <w:rPr>
                <w:rFonts w:ascii="Calibri" w:hAnsi="Calibri" w:cs="Calibri"/>
                <w:b/>
                <w:color w:val="000000"/>
                <w:sz w:val="22"/>
                <w:szCs w:val="22"/>
              </w:rPr>
            </w:pPr>
            <w:r w:rsidRPr="00C57612">
              <w:rPr>
                <w:rFonts w:ascii="Calibri" w:hAnsi="Calibri" w:cs="Calibri"/>
                <w:b/>
                <w:color w:val="000000"/>
                <w:sz w:val="22"/>
                <w:szCs w:val="22"/>
              </w:rPr>
              <w:t>ΝΑΙ</w:t>
            </w:r>
          </w:p>
        </w:tc>
        <w:tc>
          <w:tcPr>
            <w:tcW w:w="607" w:type="pct"/>
            <w:shd w:val="clear" w:color="auto" w:fill="auto"/>
            <w:vAlign w:val="center"/>
            <w:hideMark/>
          </w:tcPr>
          <w:p w:rsidR="00B5643A" w:rsidRPr="00C57612" w:rsidRDefault="00B5643A" w:rsidP="00F135B5">
            <w:pPr>
              <w:spacing w:before="120" w:line="360" w:lineRule="auto"/>
              <w:rPr>
                <w:rFonts w:ascii="Calibri" w:hAnsi="Calibri" w:cs="Calibri"/>
                <w:color w:val="000000"/>
                <w:sz w:val="22"/>
                <w:szCs w:val="22"/>
              </w:rPr>
            </w:pPr>
          </w:p>
        </w:tc>
      </w:tr>
      <w:tr w:rsidR="00B5643A" w:rsidRPr="00C57612" w:rsidTr="00F135B5">
        <w:trPr>
          <w:trHeight w:val="698"/>
        </w:trPr>
        <w:tc>
          <w:tcPr>
            <w:tcW w:w="3814" w:type="pct"/>
            <w:shd w:val="clear" w:color="auto" w:fill="auto"/>
            <w:vAlign w:val="center"/>
            <w:hideMark/>
          </w:tcPr>
          <w:p w:rsidR="00B5643A" w:rsidRPr="00C57612" w:rsidRDefault="00B5643A" w:rsidP="00F135B5">
            <w:pPr>
              <w:spacing w:line="360" w:lineRule="auto"/>
              <w:rPr>
                <w:rFonts w:ascii="Calibri" w:hAnsi="Calibri" w:cs="Calibri"/>
                <w:sz w:val="22"/>
                <w:szCs w:val="22"/>
              </w:rPr>
            </w:pPr>
            <w:r w:rsidRPr="00C57612">
              <w:rPr>
                <w:rFonts w:ascii="Calibri" w:hAnsi="Calibri" w:cs="Calibri"/>
                <w:sz w:val="22"/>
                <w:szCs w:val="22"/>
              </w:rPr>
              <w:t>Θα πρέπει να παρέχει τις απαραίτητες εγγυήσεις καλής εκτέλεσης μετά από κάθε ολοκλήρωση τόσο των τακτικών και έκτακτων επισκέψεων συντήρησης καθώς και τις εγγυήσεις για τα ανταλλακτικά.</w:t>
            </w:r>
          </w:p>
        </w:tc>
        <w:tc>
          <w:tcPr>
            <w:tcW w:w="579" w:type="pct"/>
            <w:shd w:val="clear" w:color="auto" w:fill="auto"/>
            <w:vAlign w:val="center"/>
            <w:hideMark/>
          </w:tcPr>
          <w:p w:rsidR="00B5643A" w:rsidRPr="00C57612" w:rsidRDefault="00B5643A" w:rsidP="00F135B5">
            <w:pPr>
              <w:jc w:val="center"/>
              <w:rPr>
                <w:rFonts w:ascii="Calibri" w:hAnsi="Calibri" w:cs="Calibri"/>
                <w:sz w:val="22"/>
                <w:szCs w:val="22"/>
              </w:rPr>
            </w:pPr>
            <w:r w:rsidRPr="00C57612">
              <w:rPr>
                <w:rFonts w:ascii="Calibri" w:hAnsi="Calibri" w:cs="Calibri"/>
                <w:b/>
                <w:color w:val="000000"/>
                <w:sz w:val="22"/>
                <w:szCs w:val="22"/>
              </w:rPr>
              <w:t>ΝΑΙ</w:t>
            </w:r>
          </w:p>
        </w:tc>
        <w:tc>
          <w:tcPr>
            <w:tcW w:w="607" w:type="pct"/>
            <w:shd w:val="clear" w:color="auto" w:fill="auto"/>
            <w:vAlign w:val="center"/>
            <w:hideMark/>
          </w:tcPr>
          <w:p w:rsidR="00B5643A" w:rsidRPr="00C57612" w:rsidRDefault="00B5643A" w:rsidP="00F135B5">
            <w:pPr>
              <w:spacing w:before="120" w:line="360" w:lineRule="auto"/>
              <w:rPr>
                <w:rFonts w:ascii="Calibri" w:hAnsi="Calibri" w:cs="Calibri"/>
                <w:color w:val="000000"/>
                <w:sz w:val="22"/>
                <w:szCs w:val="22"/>
              </w:rPr>
            </w:pPr>
          </w:p>
        </w:tc>
      </w:tr>
      <w:tr w:rsidR="00B5643A" w:rsidRPr="00C57612" w:rsidTr="00F135B5">
        <w:trPr>
          <w:trHeight w:val="698"/>
        </w:trPr>
        <w:tc>
          <w:tcPr>
            <w:tcW w:w="3814" w:type="pct"/>
            <w:shd w:val="clear" w:color="auto" w:fill="auto"/>
            <w:vAlign w:val="center"/>
            <w:hideMark/>
          </w:tcPr>
          <w:p w:rsidR="00B5643A" w:rsidRPr="00C57612" w:rsidRDefault="00B5643A" w:rsidP="00F135B5">
            <w:pPr>
              <w:spacing w:line="360" w:lineRule="auto"/>
              <w:rPr>
                <w:rFonts w:ascii="Calibri" w:hAnsi="Calibri" w:cs="Calibri"/>
                <w:sz w:val="22"/>
                <w:szCs w:val="22"/>
              </w:rPr>
            </w:pPr>
            <w:r w:rsidRPr="00C57612">
              <w:rPr>
                <w:rFonts w:ascii="Calibri" w:hAnsi="Calibri" w:cs="Calibri"/>
                <w:sz w:val="22"/>
                <w:szCs w:val="22"/>
              </w:rPr>
              <w:t>Μετά από την περάτωση των εργασιών, υποχρεούται να απομακρύνει το σύνολο των άχρηστων και αποβλήτων υλικών που προέκυψαν από τις  εργασίες συντήρησης, αφήνοντας τον χώρο καθαρό και σε τάξη.</w:t>
            </w:r>
          </w:p>
        </w:tc>
        <w:tc>
          <w:tcPr>
            <w:tcW w:w="579" w:type="pct"/>
            <w:shd w:val="clear" w:color="auto" w:fill="auto"/>
            <w:vAlign w:val="center"/>
            <w:hideMark/>
          </w:tcPr>
          <w:p w:rsidR="00B5643A" w:rsidRPr="00C57612" w:rsidRDefault="00B5643A" w:rsidP="00F135B5">
            <w:pPr>
              <w:jc w:val="center"/>
              <w:rPr>
                <w:rFonts w:ascii="Calibri" w:hAnsi="Calibri" w:cs="Calibri"/>
                <w:sz w:val="22"/>
                <w:szCs w:val="22"/>
              </w:rPr>
            </w:pPr>
            <w:r w:rsidRPr="00C57612">
              <w:rPr>
                <w:rFonts w:ascii="Calibri" w:hAnsi="Calibri" w:cs="Calibri"/>
                <w:b/>
                <w:color w:val="000000"/>
                <w:sz w:val="22"/>
                <w:szCs w:val="22"/>
              </w:rPr>
              <w:t>ΝΑΙ</w:t>
            </w:r>
          </w:p>
        </w:tc>
        <w:tc>
          <w:tcPr>
            <w:tcW w:w="607" w:type="pct"/>
            <w:shd w:val="clear" w:color="auto" w:fill="auto"/>
            <w:vAlign w:val="center"/>
            <w:hideMark/>
          </w:tcPr>
          <w:p w:rsidR="00B5643A" w:rsidRPr="00C57612" w:rsidRDefault="00B5643A" w:rsidP="00F135B5">
            <w:pPr>
              <w:spacing w:before="120" w:line="360" w:lineRule="auto"/>
              <w:rPr>
                <w:rFonts w:ascii="Calibri" w:hAnsi="Calibri" w:cs="Calibri"/>
                <w:color w:val="000000"/>
                <w:sz w:val="22"/>
                <w:szCs w:val="22"/>
              </w:rPr>
            </w:pPr>
          </w:p>
        </w:tc>
      </w:tr>
    </w:tbl>
    <w:p w:rsidR="00B5643A" w:rsidRDefault="00B5643A" w:rsidP="00B5643A">
      <w:pPr>
        <w:tabs>
          <w:tab w:val="left" w:pos="3360"/>
        </w:tabs>
        <w:rPr>
          <w:rFonts w:ascii="Arial" w:hAnsi="Arial" w:cs="Arial"/>
          <w:sz w:val="22"/>
          <w:szCs w:val="22"/>
        </w:rPr>
      </w:pPr>
    </w:p>
    <w:p w:rsidR="00B5643A" w:rsidRDefault="00B5643A" w:rsidP="00B5643A">
      <w:pPr>
        <w:tabs>
          <w:tab w:val="left" w:pos="3360"/>
        </w:tabs>
        <w:rPr>
          <w:rFonts w:ascii="Arial" w:hAnsi="Arial" w:cs="Arial"/>
          <w:sz w:val="22"/>
          <w:szCs w:val="22"/>
        </w:rPr>
      </w:pPr>
    </w:p>
    <w:p w:rsidR="00B5643A" w:rsidRPr="00BB2031" w:rsidRDefault="00B5643A" w:rsidP="00B5643A">
      <w:pPr>
        <w:suppressAutoHyphens/>
        <w:spacing w:line="360" w:lineRule="auto"/>
        <w:ind w:right="-11"/>
        <w:jc w:val="both"/>
        <w:rPr>
          <w:rFonts w:ascii="Calibri" w:hAnsi="Calibri" w:cs="Calibri"/>
          <w:b/>
          <w:bCs/>
          <w:u w:val="double"/>
        </w:rPr>
      </w:pPr>
      <w:r w:rsidRPr="00BB2031">
        <w:rPr>
          <w:rFonts w:ascii="Calibri" w:hAnsi="Calibri" w:cs="Calibri"/>
          <w:b/>
          <w:bCs/>
          <w:u w:val="double"/>
        </w:rPr>
        <w:t>Επισημαίνεται ότι :</w:t>
      </w:r>
    </w:p>
    <w:p w:rsidR="00B5643A" w:rsidRPr="002A58B6" w:rsidRDefault="00B5643A" w:rsidP="00B5643A">
      <w:pPr>
        <w:suppressAutoHyphens/>
        <w:spacing w:line="360" w:lineRule="auto"/>
        <w:ind w:right="-11"/>
        <w:jc w:val="both"/>
        <w:rPr>
          <w:b/>
          <w:u w:val="single"/>
        </w:rPr>
      </w:pPr>
      <w:r w:rsidRPr="002C545A">
        <w:rPr>
          <w:rFonts w:ascii="Calibri" w:hAnsi="Calibri" w:cs="Calibri"/>
          <w:b/>
          <w:bCs/>
          <w:sz w:val="22"/>
          <w:szCs w:val="22"/>
        </w:rPr>
        <w:t xml:space="preserve">Για τη συμμόρφωση με τις απαιτήσεις του </w:t>
      </w:r>
      <w:r w:rsidRPr="00B74356">
        <w:rPr>
          <w:rFonts w:ascii="Calibri" w:hAnsi="Calibri" w:cs="Calibri"/>
          <w:b/>
          <w:bCs/>
          <w:sz w:val="22"/>
          <w:szCs w:val="22"/>
        </w:rPr>
        <w:t xml:space="preserve"> </w:t>
      </w:r>
      <w:r>
        <w:rPr>
          <w:rFonts w:ascii="Calibri" w:hAnsi="Calibri" w:cs="Calibri"/>
          <w:b/>
          <w:bCs/>
          <w:sz w:val="22"/>
          <w:szCs w:val="22"/>
        </w:rPr>
        <w:t>πίνακα του ΠΑΡΑΡΤΗΜΑΤΟΣ ΙΙ,</w:t>
      </w:r>
      <w:r w:rsidRPr="002C545A">
        <w:rPr>
          <w:rFonts w:ascii="Calibri" w:hAnsi="Calibri" w:cs="Calibri"/>
          <w:b/>
          <w:bCs/>
          <w:sz w:val="22"/>
          <w:szCs w:val="22"/>
        </w:rPr>
        <w:t xml:space="preserve"> </w:t>
      </w:r>
      <w:r w:rsidRPr="002A58B6">
        <w:rPr>
          <w:rFonts w:ascii="Calibri" w:hAnsi="Calibri" w:cs="Calibri"/>
          <w:b/>
          <w:bCs/>
          <w:sz w:val="22"/>
          <w:szCs w:val="22"/>
          <w:u w:val="single"/>
        </w:rPr>
        <w:t xml:space="preserve">ο προσφέρων  προσκομίζει, επιπροσθέτως, υπεύθυνη δήλωση της παρ. 4 του άρθρου 8 του ν. 1599/1986, υπογεγραμμένη από τον </w:t>
      </w:r>
      <w:r w:rsidRPr="002A58B6">
        <w:rPr>
          <w:rFonts w:ascii="Calibri" w:hAnsi="Calibri" w:cs="Calibri"/>
          <w:b/>
          <w:sz w:val="22"/>
          <w:szCs w:val="22"/>
          <w:u w:val="single"/>
        </w:rPr>
        <w:t>κατά περίπτωση εκπρόσωπό του.</w:t>
      </w:r>
    </w:p>
    <w:p w:rsidR="00B5643A" w:rsidRDefault="00B5643A" w:rsidP="00B5643A">
      <w:pPr>
        <w:tabs>
          <w:tab w:val="left" w:pos="3360"/>
        </w:tabs>
        <w:rPr>
          <w:rFonts w:ascii="Arial" w:hAnsi="Arial" w:cs="Arial"/>
          <w:sz w:val="22"/>
          <w:szCs w:val="22"/>
        </w:rPr>
      </w:pPr>
    </w:p>
    <w:p w:rsidR="00B5643A" w:rsidRDefault="00B5643A" w:rsidP="00B5643A">
      <w:pPr>
        <w:tabs>
          <w:tab w:val="left" w:pos="3360"/>
        </w:tabs>
        <w:rPr>
          <w:rFonts w:ascii="Arial" w:hAnsi="Arial" w:cs="Arial"/>
          <w:sz w:val="22"/>
          <w:szCs w:val="22"/>
        </w:rPr>
      </w:pPr>
    </w:p>
    <w:p w:rsidR="00B5643A" w:rsidRPr="00097CFA" w:rsidRDefault="00B5643A" w:rsidP="00B5643A">
      <w:pPr>
        <w:spacing w:before="120" w:line="276" w:lineRule="auto"/>
        <w:jc w:val="both"/>
        <w:rPr>
          <w:rFonts w:ascii="Calibri" w:eastAsia="MS Mincho" w:hAnsi="Calibri" w:cs="Calibri"/>
          <w:b/>
          <w:bCs/>
          <w:sz w:val="22"/>
          <w:szCs w:val="22"/>
        </w:rPr>
      </w:pPr>
      <w:r w:rsidRPr="00097CFA">
        <w:rPr>
          <w:rFonts w:ascii="Calibri" w:eastAsia="MS Mincho" w:hAnsi="Calibri" w:cs="Calibri"/>
          <w:b/>
          <w:bCs/>
          <w:sz w:val="22"/>
          <w:szCs w:val="22"/>
        </w:rPr>
        <w:t>ΠΑΡΑΤΗΡΗΣΕΙΣ/ΔΙΕΥΚΡΙΝΙΣΕΙΣ</w:t>
      </w:r>
    </w:p>
    <w:p w:rsidR="00B5643A" w:rsidRPr="00097CFA" w:rsidRDefault="00B5643A" w:rsidP="00B5643A">
      <w:pPr>
        <w:spacing w:line="276" w:lineRule="auto"/>
        <w:jc w:val="both"/>
        <w:rPr>
          <w:rFonts w:ascii="Calibri" w:hAnsi="Calibri" w:cs="Calibri"/>
          <w:sz w:val="22"/>
          <w:szCs w:val="22"/>
        </w:rPr>
      </w:pPr>
    </w:p>
    <w:p w:rsidR="00B5643A" w:rsidRPr="00097CFA" w:rsidRDefault="00B5643A" w:rsidP="00B5643A">
      <w:pPr>
        <w:numPr>
          <w:ilvl w:val="0"/>
          <w:numId w:val="1"/>
        </w:numPr>
        <w:spacing w:line="276" w:lineRule="auto"/>
        <w:jc w:val="both"/>
        <w:rPr>
          <w:rFonts w:ascii="Calibri" w:hAnsi="Calibri" w:cs="Calibri"/>
          <w:sz w:val="22"/>
          <w:szCs w:val="22"/>
        </w:rPr>
      </w:pPr>
      <w:r w:rsidRPr="00097CFA">
        <w:rPr>
          <w:rFonts w:ascii="Calibri" w:hAnsi="Calibri" w:cs="Calibri"/>
          <w:sz w:val="22"/>
          <w:szCs w:val="22"/>
        </w:rPr>
        <w:t xml:space="preserve">Αν στη στήλη «ΑΠΑΙΤΗΣΗ» έχει συμπληρωθεί η λέξη «ΝΑΙ» ή αριθμός (που σημαίνει υποχρεωτικό αριθμητικό μέγεθος της προδιαγραφής και απαιτεί συμμόρφωση), τότε η αντίστοιχη προδιαγραφή είναι υποχρεωτική για τον προσφέροντα, θεωρούμενη ως απαράβατος όρος σύμφωνα με την παρούσα πρόσκληση. Προσφορές που δεν καλύπτουν πλήρως απαράβατους όρους απορρίπτονται ως απαράδεκτες. </w:t>
      </w:r>
    </w:p>
    <w:p w:rsidR="00B5643A" w:rsidRPr="00097CFA" w:rsidRDefault="00B5643A" w:rsidP="00B5643A">
      <w:pPr>
        <w:spacing w:line="276" w:lineRule="auto"/>
        <w:jc w:val="both"/>
        <w:rPr>
          <w:rFonts w:ascii="Calibri" w:hAnsi="Calibri" w:cs="Calibri"/>
          <w:sz w:val="22"/>
          <w:szCs w:val="22"/>
        </w:rPr>
      </w:pPr>
    </w:p>
    <w:p w:rsidR="00B5643A" w:rsidRPr="00097CFA" w:rsidRDefault="00B5643A" w:rsidP="00B5643A">
      <w:pPr>
        <w:numPr>
          <w:ilvl w:val="0"/>
          <w:numId w:val="1"/>
        </w:numPr>
        <w:spacing w:line="276" w:lineRule="auto"/>
        <w:jc w:val="both"/>
        <w:rPr>
          <w:rFonts w:ascii="Calibri" w:hAnsi="Calibri" w:cs="Calibri"/>
          <w:sz w:val="22"/>
          <w:szCs w:val="22"/>
        </w:rPr>
      </w:pPr>
      <w:r w:rsidRPr="00097CFA">
        <w:rPr>
          <w:rFonts w:ascii="Calibri" w:hAnsi="Calibri" w:cs="Calibri"/>
          <w:sz w:val="22"/>
          <w:szCs w:val="22"/>
        </w:rPr>
        <w:t xml:space="preserve">Στη στήλη «ΑΠΑΝΤΗΣΗ» σημειώνεται η απάντηση του προσφέροντος. </w:t>
      </w:r>
    </w:p>
    <w:p w:rsidR="00B5643A" w:rsidRPr="00097CFA" w:rsidRDefault="00B5643A" w:rsidP="00B5643A">
      <w:pPr>
        <w:spacing w:line="276" w:lineRule="auto"/>
        <w:jc w:val="both"/>
        <w:rPr>
          <w:rFonts w:ascii="Calibri" w:hAnsi="Calibri" w:cs="Calibri"/>
          <w:sz w:val="22"/>
          <w:szCs w:val="22"/>
        </w:rPr>
      </w:pPr>
      <w:r w:rsidRPr="00097CFA">
        <w:rPr>
          <w:rFonts w:ascii="Calibri" w:hAnsi="Calibri" w:cs="Calibri"/>
          <w:sz w:val="22"/>
          <w:szCs w:val="22"/>
        </w:rPr>
        <w:t xml:space="preserve"> </w:t>
      </w:r>
    </w:p>
    <w:p w:rsidR="00B5643A" w:rsidRPr="00097CFA" w:rsidRDefault="00B5643A" w:rsidP="00B5643A">
      <w:pPr>
        <w:numPr>
          <w:ilvl w:val="0"/>
          <w:numId w:val="1"/>
        </w:numPr>
        <w:spacing w:line="276" w:lineRule="auto"/>
        <w:jc w:val="both"/>
        <w:rPr>
          <w:rFonts w:ascii="Calibri" w:hAnsi="Calibri" w:cs="Calibri"/>
          <w:sz w:val="22"/>
          <w:szCs w:val="22"/>
        </w:rPr>
      </w:pPr>
      <w:r w:rsidRPr="00097CFA">
        <w:rPr>
          <w:rFonts w:ascii="Calibri" w:hAnsi="Calibri" w:cs="Calibri"/>
          <w:sz w:val="22"/>
          <w:szCs w:val="22"/>
        </w:rPr>
        <w:t xml:space="preserve">Τονίζεται ότι είναι υποχρεωτική η απάντηση σε όλες τις τεχνικές προδιαγραφές και η παροχή όλων των πληροφοριών που ζητούνται. </w:t>
      </w:r>
    </w:p>
    <w:p w:rsidR="00B565A0" w:rsidRDefault="00B565A0">
      <w:bookmarkStart w:id="0" w:name="_GoBack"/>
      <w:bookmarkEnd w:id="0"/>
    </w:p>
    <w:sectPr w:rsidR="00B565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201AF"/>
    <w:multiLevelType w:val="hybridMultilevel"/>
    <w:tmpl w:val="6F16F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3A"/>
    <w:rsid w:val="00B5643A"/>
    <w:rsid w:val="00B565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BBC51-065E-4875-947E-0DFD538D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43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2042</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Ριζιου</dc:creator>
  <cp:keywords/>
  <dc:description/>
  <cp:lastModifiedBy>Μαρια Ριζιου</cp:lastModifiedBy>
  <cp:revision>1</cp:revision>
  <dcterms:created xsi:type="dcterms:W3CDTF">2024-06-03T11:17:00Z</dcterms:created>
  <dcterms:modified xsi:type="dcterms:W3CDTF">2024-06-03T11:17:00Z</dcterms:modified>
</cp:coreProperties>
</file>